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PÚBLICO 01/2015</w:t>
      </w: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EDITAL 30/2019 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PARA ENTREGA DA DOCUMENTAÇÃO</w:t>
      </w: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Dispõe sobre a convocação dos candidatos aprovados no Concurso Público nº 01/2015 do Edital nº 01/2015, e dá outras providências. </w:t>
      </w: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DIRETORIA EXECUTIVA DO CISLIPA </w:t>
      </w:r>
      <w:r>
        <w:rPr>
          <w:rFonts w:asciiTheme="minorHAnsi" w:hAnsiTheme="minorHAnsi" w:cstheme="minorHAnsi"/>
          <w:sz w:val="22"/>
          <w:szCs w:val="22"/>
        </w:rPr>
        <w:t xml:space="preserve">no uso de suas atribuições legais e considerando o Edital nº 01/2015 de Abertura do Concurso Público e o Edital 02/2015 de Homologação do Resultado Final e Classificação ambos do Concurso Público 01/2015, devidamente divulgados nos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endereços eletrônicos </w:t>
      </w:r>
      <w:hyperlink r:id="rId9" w:history="1">
        <w:r>
          <w:rPr>
            <w:rStyle w:val="Hyperlink"/>
            <w:rFonts w:asciiTheme="minorHAnsi" w:hAnsiTheme="minorHAnsi" w:cs="Arial"/>
            <w:sz w:val="22"/>
            <w:szCs w:val="22"/>
            <w:lang w:eastAsia="ar-SA"/>
          </w:rPr>
          <w:t>www.fundacaofafipa.org.br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e no do Diário Oficial dos Municípios do Paraná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www.diariomunicipal.com.br/amp/pesquisar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 xml:space="preserve">CONVOCA, </w:t>
      </w:r>
      <w:r>
        <w:rPr>
          <w:rFonts w:asciiTheme="minorHAnsi" w:hAnsiTheme="minorHAnsi" w:cstheme="minorHAnsi"/>
          <w:sz w:val="22"/>
          <w:szCs w:val="22"/>
        </w:rPr>
        <w:t xml:space="preserve">o candidato abaixo relacionado a comparecer no </w:t>
      </w:r>
      <w:r>
        <w:rPr>
          <w:rFonts w:asciiTheme="minorHAnsi" w:hAnsiTheme="minorHAnsi" w:cstheme="minorHAnsi"/>
          <w:b/>
          <w:sz w:val="22"/>
          <w:szCs w:val="22"/>
        </w:rPr>
        <w:t xml:space="preserve">prazo conforme item 01 </w:t>
      </w:r>
      <w:r>
        <w:rPr>
          <w:rFonts w:asciiTheme="minorHAnsi" w:hAnsiTheme="minorHAnsi" w:cstheme="minorHAnsi"/>
          <w:sz w:val="22"/>
          <w:szCs w:val="22"/>
        </w:rPr>
        <w:t>deste EDITAL, munido dos documentos exigidos no Edital n.º 01/2015 e no presente Edital.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ENTREGA DA DOCUMENTAÇÃO:</w:t>
      </w:r>
    </w:p>
    <w:p>
      <w:pPr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1.1 - Os documentos deverão ser entregues, </w:t>
      </w:r>
      <w:r>
        <w:rPr>
          <w:rFonts w:asciiTheme="minorHAnsi" w:hAnsiTheme="minorHAnsi" w:cstheme="minorHAnsi"/>
          <w:b/>
          <w:sz w:val="22"/>
          <w:szCs w:val="22"/>
        </w:rPr>
        <w:t>nos dias 03, 04, 05 e 06 de Junho de 2019 das 08h30min às 11h30min horas e das 13h30min às 16h30min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 w:cstheme="minorHAnsi"/>
          <w:sz w:val="22"/>
          <w:szCs w:val="22"/>
        </w:rPr>
        <w:t>sub sede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administrativa do CISLIPA</w:t>
      </w:r>
      <w:r>
        <w:rPr>
          <w:rFonts w:asciiTheme="minorHAnsi" w:hAnsiTheme="minorHAnsi"/>
          <w:color w:val="000000" w:themeColor="text1"/>
          <w:sz w:val="22"/>
          <w:szCs w:val="22"/>
        </w:rPr>
        <w:t>, sito à Rua Baronesa do Cerro Azul, 2.382 – Palmital – Paranaguá – PR – (Assistência Social – Paranaguá)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1.2 - Não serão recebidos documentos fora do horário e dia estipulado.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1.3 - Será eliminado do Concurso Público o candidato que convocado para apresentar os documentos não comparecer à entrega para análise documental ou não comprovar os requisitos para o emprego público, no momento da convocação, em conformidade com item 4.1 do Edital 01/2015 – Edital de Abertura do Concurso Público 01/2015.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CANDIDATO CONVOCADO:</w:t>
      </w: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3118"/>
      </w:tblGrid>
      <w:tr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TÉCNICO DE ENFERMAGEM - CONCOMITANTE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Nº INSCRIÇÃO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NOME DO CANDIDATO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CLASSIFICAÇÃO GERAL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108206002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ELISANGELA EVA APARECIDA DA SILVA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</w:tbl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3118"/>
      </w:tblGrid>
      <w:tr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CONDUTOR DE VEÍCULO DE EMERGÊNCIA TERRESTRE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CLASSIFICAÇÃO GERAL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106503002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NANCI ABREU MELIM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</w:t>
            </w:r>
          </w:p>
        </w:tc>
      </w:tr>
    </w:tbl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3118"/>
      </w:tblGrid>
      <w:tr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RÁDIO OPERADOR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CLASSIFICAÇÃO GERAL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20404002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PAULO EDUARDO DE ASSUNÇÃO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</w:tr>
    </w:tbl>
    <w:p>
      <w:pPr>
        <w:pStyle w:val="PargrafodaLista"/>
        <w:tabs>
          <w:tab w:val="left" w:pos="504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DOCUMENTOS EXIGIDOS – CÓPIA AUTENTICADA: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Carteira de Identidade – RG (registro Geral);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Cartão do CPF;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Certidão de Nascimento e/ou da Certidão de Casamento;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Título de Eleitor;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Prova de quitação com a Justiça Eleitoral; disponível em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http://www.tse.jus.br/eleitor/certidoes/certidao-de-quitacao-eleitoral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 de quitação com o serviço militar para o candidato do sexo masculino;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Certificado de Conclusão do Curso/escolaridade exigido pelo requisito do emprego;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 (uma) fotografia 3X4 recente;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Certidão de Nascimento do(s) filho(s), menores de 14 (quatorze) anos; cópia autenticada da caderneta de vacinação ou equivalente (somente para os dependentes de até 06 anos de idade); comprovante de frequência escolar emitida pelo estabelecimento de ensino (somente para os dependentes de 07 a 14 anos de idade);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Certidão Negativa Criminal e Cível, expedida pela Comarca onde reside;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comprovante de residência;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Número do PIS/PASEP;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Carteira de Trabalho e Previdência Social – CTPS (parte de identificação do candidato)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Certificado do Curso de Socorrista conforme Portaria MS n.º 2048/2002, ou sua declaração de conclusão em via original.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de exercício em outro cargo, emprego ou função pública (formulário próprio no Departamento de Recursos Humanos).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de bens e valores com dados referentes até a data da contratação (formulário próprio no Departamento de Recursos Humanos), acompanhada da Declaração de Imposto de Renda do exercício imediatamente anterior, conforme a Lei nº 8.429/1992.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Termo de Responsabilidade – Concessão de Salário Família (formulário próprio no Departamento de Recursos Humanos).</w:t>
      </w:r>
    </w:p>
    <w:p>
      <w:pPr>
        <w:pStyle w:val="PargrafodaLista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Cópia autenticada da Carteira de Habilitação CNH na categoria indicada para o emprego público. Para o emprego público de Condutor de Veículo de Emergência.</w:t>
      </w:r>
    </w:p>
    <w:p>
      <w:pPr>
        <w:pStyle w:val="PargrafodaLista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Consulta Histórico de Pontuação do Condutor. O condutor com habilitação do Paraná poderá efetuar a consulta através do site do </w:t>
      </w:r>
      <w:proofErr w:type="gramStart"/>
      <w:r>
        <w:rPr>
          <w:rFonts w:asciiTheme="minorHAnsi" w:hAnsiTheme="minorHAnsi" w:cstheme="minorHAnsi"/>
          <w:sz w:val="20"/>
          <w:szCs w:val="20"/>
        </w:rPr>
        <w:t>Detran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http://www.detran.pr.gov.br/modules/catasg/servicos-detalhes.php?tema=motorista&amp;id=239</w:t>
        </w:r>
      </w:hyperlink>
      <w:r>
        <w:rPr>
          <w:rFonts w:asciiTheme="minorHAnsi" w:hAnsiTheme="minorHAnsi" w:cstheme="minorHAnsi"/>
          <w:sz w:val="20"/>
          <w:szCs w:val="20"/>
        </w:rPr>
        <w:t>. Para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sz w:val="20"/>
          <w:szCs w:val="20"/>
        </w:rPr>
        <w:t>o emprego público de Condutor de Veículo de Emergência.</w:t>
      </w:r>
    </w:p>
    <w:p>
      <w:pPr>
        <w:pStyle w:val="PargrafodaLista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Cópia autenticada de curso de condutor de veículo de emergência conforme normatização do CONTRAM. Para o emprego público de Condutor de Veículo de Emergência.</w:t>
      </w:r>
      <w:bookmarkStart w:id="0" w:name="_GoBack"/>
      <w:bookmarkEnd w:id="0"/>
    </w:p>
    <w:p>
      <w:pPr>
        <w:pStyle w:val="PargrafodaLista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tabs>
          <w:tab w:val="left" w:pos="1134"/>
        </w:tabs>
        <w:autoSpaceDE w:val="0"/>
        <w:autoSpaceDN w:val="0"/>
        <w:adjustRightInd w:val="0"/>
        <w:spacing w:after="1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AVALIAÇÃO MÉDICA/EXAME MÉDICO PRÉ-ADMISSIONAL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candidato que apresentar a documentação exigida será encaminhado para realização da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-Admissional, </w:t>
      </w:r>
      <w:r>
        <w:rPr>
          <w:rFonts w:asciiTheme="minorHAnsi" w:hAnsiTheme="minorHAnsi" w:cstheme="minorHAnsi"/>
          <w:b/>
          <w:sz w:val="22"/>
          <w:szCs w:val="22"/>
        </w:rPr>
        <w:t>com data provável entre os dias 12 a 14 de Junho de 2019</w:t>
      </w:r>
      <w:r>
        <w:rPr>
          <w:rFonts w:asciiTheme="minorHAnsi" w:hAnsiTheme="minorHAnsi" w:cstheme="minorHAnsi"/>
          <w:sz w:val="22"/>
          <w:szCs w:val="22"/>
        </w:rPr>
        <w:t>, devendo apresentar exames laboratoriais e complementares realizados até trinta (30) dias imediatamente anteriores à data de publicação do Ato de Convocação do candidato, ou seja, do Edital de Convocação para Avaliação Médica/Exame, sendo os exames abaixo citados: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Exames para Rádio Operador: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a.1 – Acuidade Visual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a.</w:t>
      </w:r>
      <w:proofErr w:type="gramEnd"/>
      <w:r>
        <w:rPr>
          <w:rFonts w:asciiTheme="minorHAnsi" w:hAnsiTheme="minorHAnsi" w:cstheme="minorHAnsi"/>
          <w:sz w:val="22"/>
          <w:szCs w:val="22"/>
        </w:rPr>
        <w:t>2 – Audiometria Ocupacional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Exames para Técnico de enfermagem - Concomitante: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1 - Acuidade visual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2 - </w:t>
      </w:r>
      <w:proofErr w:type="spellStart"/>
      <w:r>
        <w:rPr>
          <w:rFonts w:asciiTheme="minorHAnsi" w:hAnsiTheme="minorHAnsi" w:cstheme="minorHAnsi"/>
          <w:sz w:val="22"/>
          <w:szCs w:val="22"/>
        </w:rPr>
        <w:t>Anti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HCV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b.3 - Anti HBs -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4 - Audiometria Ocupacional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5 - Consulta Ocupacional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6 - Grupo sanguíneo ABO e RH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7 - </w:t>
      </w:r>
      <w:proofErr w:type="spellStart"/>
      <w:r>
        <w:rPr>
          <w:rFonts w:asciiTheme="minorHAnsi" w:hAnsiTheme="minorHAnsi" w:cstheme="minorHAnsi"/>
          <w:sz w:val="22"/>
          <w:szCs w:val="22"/>
        </w:rPr>
        <w:t>HbsAg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8 - Hemograma Completo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9 - RX - Coluna lombo-sacra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b.</w:t>
      </w:r>
      <w:proofErr w:type="gramEnd"/>
      <w:r>
        <w:rPr>
          <w:rFonts w:asciiTheme="minorHAnsi" w:hAnsiTheme="minorHAnsi" w:cstheme="minorHAnsi"/>
          <w:sz w:val="22"/>
          <w:szCs w:val="22"/>
        </w:rPr>
        <w:t>10 – VDRL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Exames para Condutor de veículo de Emergência Terrestre: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Acuidade visual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Audiometria Ocupacional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Consulta Ocupacional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Eletrocardiograma – ECG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Eletroencefalograma-EEG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Gama - GT</w:t>
      </w:r>
    </w:p>
    <w:p>
      <w:pPr>
        <w:pStyle w:val="SemEspaamento"/>
        <w:rPr>
          <w:rFonts w:ascii="Times New Roman" w:hAnsi="Times New Roman"/>
          <w:sz w:val="18"/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RX - Coluna lombo-sacra</w:t>
      </w:r>
    </w:p>
    <w:p>
      <w:pPr>
        <w:pStyle w:val="SemEspaamento"/>
        <w:rPr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Grupo sanguíneo ABO e RH</w:t>
      </w:r>
    </w:p>
    <w:p>
      <w:pPr>
        <w:pStyle w:val="SemEspaamento"/>
        <w:rPr>
          <w:rFonts w:ascii="Times New Roman" w:hAnsi="Times New Roman"/>
          <w:sz w:val="18"/>
          <w:lang w:eastAsia="pt-BR"/>
        </w:rPr>
      </w:pPr>
      <w:r>
        <w:rPr>
          <w:lang w:eastAsia="pt-BR"/>
        </w:rPr>
        <w:t xml:space="preserve">               </w:t>
      </w:r>
      <w:proofErr w:type="gramStart"/>
      <w:r>
        <w:rPr>
          <w:lang w:eastAsia="pt-BR"/>
        </w:rPr>
        <w:t>c.</w:t>
      </w:r>
      <w:proofErr w:type="gramEnd"/>
      <w:r>
        <w:rPr>
          <w:lang w:eastAsia="pt-BR"/>
        </w:rPr>
        <w:t xml:space="preserve"> - Hemograma Completo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todos os exames deverá constar, além do nome, número do documento de identidade do candidato.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local e horário da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-Admissional serão divulgados através de edital no site do Diário Oficial dos Municípios do Paraná </w:t>
      </w:r>
      <w:hyperlink r:id="rId13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www.diariomunicipal.com.br/amp/pesquisar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candidato que deixar de apresentar os exames laboratoriais e complementares e/ou não comparecer para a avaliação médica será considerado desistente.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Durante a Avaliação Médica poderão ser solicitados outros exames complementares, a depender da necessidade de esclarecimento de diagnóstico.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exames laboratoriais e complementares serão a expensas do candidato.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>-Admissional terá caráter eliminatório, sendo os candidatos considerados aptos ou inaptos, em conformidade com item 4.1 letra F do Edital 01/2015.</w:t>
      </w:r>
    </w:p>
    <w:p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DISPOSIÇÕES FINAIS</w:t>
      </w: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data e local para entrega da Carteira de Trabalho e Previdência Social para os devidos registros e assinatura do Contrato de Trabalho, serão informados juntamente com o edital de aptidão.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Não haverá segunda chamada para a entrega dos documentos e/ou para 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>-Admissional, por qualquer motivo, inclusive moléstia, acidente ou outro fato, importando na eliminação automática no Concurso Público.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candidato convocado para a entrega da documentação poderá, a seu critério, solicitar nesta única fase, o reposicionamento para o final da lista classificatória. Por meio de formulário próprio de Requerimento de Reclassificação ao Final da Lista de Aprovados no Concurso Público 01/2015; o qual deverá ser efeituado pessoalmente pelo candidato no prazo do item 1.1 deste Edital.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Não será aceita qualquer alegação de desconhecimento dos procedimentos exigidos.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Paranaguá, 31 de Maio de 2019.</w:t>
      </w: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EVERLLIN DINA DE CAMARGO GUIGUER</w:t>
      </w:r>
    </w:p>
    <w:p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Diretora Executiva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/>
    <w:sectPr>
      <w:headerReference w:type="default" r:id="rId14"/>
      <w:footerReference w:type="default" r:id="rId15"/>
      <w:pgSz w:w="11906" w:h="16838"/>
      <w:pgMar w:top="3107" w:right="1304" w:bottom="1304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jc w:val="center"/>
      <w:rPr>
        <w:rFonts w:asciiTheme="majorHAnsi" w:hAnsiTheme="majorHAnsi" w:cs="Arial"/>
        <w:b/>
        <w:sz w:val="16"/>
        <w:szCs w:val="16"/>
      </w:rPr>
    </w:pPr>
    <w:r>
      <w:rPr>
        <w:rFonts w:asciiTheme="majorHAnsi" w:hAnsiTheme="majorHAnsi" w:cs="Arial"/>
        <w:b/>
        <w:sz w:val="16"/>
        <w:szCs w:val="16"/>
      </w:rPr>
      <w:t>_______________________________________________________________________________________________________________________________________________</w:t>
    </w:r>
  </w:p>
  <w:p>
    <w:pPr>
      <w:ind w:right="424"/>
      <w:jc w:val="center"/>
      <w:rPr>
        <w:rFonts w:asciiTheme="minorHAnsi" w:hAnsiTheme="minorHAnsi"/>
        <w:b/>
        <w:smallCaps/>
        <w:color w:val="548DD4" w:themeColor="text2" w:themeTint="99"/>
        <w:sz w:val="16"/>
        <w:szCs w:val="16"/>
      </w:rPr>
    </w:pPr>
    <w:r>
      <w:rPr>
        <w:rFonts w:asciiTheme="minorHAnsi" w:hAnsiTheme="minorHAnsi"/>
        <w:b/>
        <w:smallCaps/>
        <w:color w:val="365F91" w:themeColor="accent1" w:themeShade="BF"/>
        <w:sz w:val="16"/>
        <w:szCs w:val="16"/>
      </w:rPr>
      <w:t>Antonina – Guaraqueçaba – Guaratuba – Matinhos – Morretes – Paranaguá – Pontal do Paraná</w:t>
    </w:r>
  </w:p>
  <w:p>
    <w:pPr>
      <w:pStyle w:val="Rodap"/>
      <w:ind w:right="424"/>
      <w:jc w:val="center"/>
      <w:rPr>
        <w:rFonts w:asciiTheme="minorHAnsi" w:hAnsiTheme="minorHAnsi" w:cs="Arial"/>
        <w:b/>
        <w:color w:val="548DD4" w:themeColor="text2" w:themeTint="99"/>
        <w:sz w:val="14"/>
        <w:szCs w:val="14"/>
      </w:rPr>
    </w:pPr>
    <w:r>
      <w:rPr>
        <w:rFonts w:asciiTheme="minorHAnsi" w:hAnsiTheme="minorHAnsi" w:cs="Arial"/>
        <w:b/>
        <w:color w:val="548DD4" w:themeColor="text2" w:themeTint="99"/>
        <w:sz w:val="14"/>
        <w:szCs w:val="14"/>
      </w:rPr>
      <w:t xml:space="preserve">Rua Domingos Peneda, s/n, Vila Itibere, </w:t>
    </w:r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Paranaguá – PR,</w:t>
    </w:r>
    <w:r>
      <w:rPr>
        <w:rFonts w:asciiTheme="minorHAnsi" w:hAnsiTheme="minorHAnsi" w:cs="Arial"/>
        <w:b/>
        <w:color w:val="548DD4" w:themeColor="text2" w:themeTint="99"/>
        <w:sz w:val="14"/>
        <w:szCs w:val="14"/>
      </w:rPr>
      <w:t xml:space="preserve"> CEP 83.209-340, Telefone (41) 3420-8201, CNPJ 13.681.884/0001-39</w:t>
    </w:r>
  </w:p>
  <w:p>
    <w:pPr>
      <w:pStyle w:val="Rodap"/>
      <w:ind w:right="424"/>
      <w:jc w:val="center"/>
      <w:rPr>
        <w:rStyle w:val="Hyperlink"/>
        <w:b/>
        <w:color w:val="548DD4" w:themeColor="text2" w:themeTint="99"/>
        <w:sz w:val="14"/>
        <w:szCs w:val="14"/>
        <w:u w:val="none"/>
      </w:rPr>
    </w:pPr>
    <w:proofErr w:type="spellStart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Subsede</w:t>
    </w:r>
    <w:proofErr w:type="spellEnd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 xml:space="preserve"> Administrativa: Rua Baronesa do Cerro Azul, 2.382, Palmital, Paranaguá – PR, CEP 83.206-255, Telefone (41) 3425-</w:t>
    </w:r>
    <w:proofErr w:type="gramStart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6125</w:t>
    </w:r>
    <w:proofErr w:type="gramEnd"/>
  </w:p>
  <w:p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  <w:tab w:val="left" w:pos="6300"/>
        <w:tab w:val="left" w:pos="6600"/>
        <w:tab w:val="left" w:pos="6900"/>
        <w:tab w:val="left" w:pos="7200"/>
        <w:tab w:val="left" w:pos="7500"/>
        <w:tab w:val="left" w:pos="7800"/>
        <w:tab w:val="left" w:pos="8100"/>
        <w:tab w:val="left" w:pos="8400"/>
        <w:tab w:val="left" w:pos="8700"/>
        <w:tab w:val="left" w:pos="9000"/>
        <w:tab w:val="left" w:pos="9300"/>
        <w:tab w:val="left" w:pos="9600"/>
      </w:tabs>
      <w:autoSpaceDE w:val="0"/>
      <w:autoSpaceDN w:val="0"/>
      <w:adjustRightInd w:val="0"/>
      <w:ind w:right="424"/>
      <w:jc w:val="center"/>
      <w:rPr>
        <w:rFonts w:asciiTheme="minorHAnsi" w:eastAsiaTheme="minorHAnsi" w:hAnsiTheme="minorHAnsi" w:cs="Segoe Print"/>
        <w:color w:val="548DD4" w:themeColor="text2" w:themeTint="99"/>
        <w:sz w:val="16"/>
        <w:szCs w:val="16"/>
        <w:lang w:val="pt" w:eastAsia="en-US"/>
      </w:rPr>
    </w:pPr>
    <w:hyperlink r:id="rId1" w:history="1">
      <w:r>
        <w:rPr>
          <w:rFonts w:asciiTheme="minorHAnsi" w:eastAsiaTheme="minorHAnsi" w:hAnsiTheme="minorHAnsi" w:cs="Segoe Print"/>
          <w:b/>
          <w:color w:val="548DD4" w:themeColor="text2" w:themeTint="99"/>
          <w:sz w:val="14"/>
          <w:szCs w:val="14"/>
          <w:lang w:val="pt" w:eastAsia="en-US"/>
        </w:rPr>
        <w:t>http://www.cislipalitoral.com.br/contato/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3" w:type="dxa"/>
      <w:tblInd w:w="-983" w:type="dxa"/>
      <w:tblLayout w:type="fixed"/>
      <w:tblLook w:val="04A0" w:firstRow="1" w:lastRow="0" w:firstColumn="1" w:lastColumn="0" w:noHBand="0" w:noVBand="1"/>
    </w:tblPr>
    <w:tblGrid>
      <w:gridCol w:w="1281"/>
      <w:gridCol w:w="8252"/>
    </w:tblGrid>
    <w:tr>
      <w:trPr>
        <w:trHeight w:val="2491"/>
      </w:trPr>
      <w:tc>
        <w:tcPr>
          <w:tcW w:w="1281" w:type="dxa"/>
        </w:tcPr>
        <w:p>
          <w:pPr>
            <w:rPr>
              <w:rFonts w:ascii="Calibri" w:eastAsia="Calibri" w:hAnsi="Calibri"/>
              <w:lang w:eastAsia="en-US"/>
            </w:rPr>
          </w:pPr>
        </w:p>
      </w:tc>
      <w:tc>
        <w:tcPr>
          <w:tcW w:w="8252" w:type="dxa"/>
          <w:tcBorders>
            <w:bottom w:val="single" w:sz="4" w:space="0" w:color="auto"/>
          </w:tcBorders>
          <w:hideMark/>
        </w:tcPr>
        <w:p>
          <w:pPr>
            <w:jc w:val="center"/>
            <w:rPr>
              <w:rFonts w:ascii="Arial Black" w:hAnsi="Arial Black" w:cs="Aharoni"/>
              <w:smallCaps/>
              <w:color w:val="365F91" w:themeColor="accent1" w:themeShade="BF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>
                <wp:extent cx="4244196" cy="1431294"/>
                <wp:effectExtent l="0" t="0" r="4445" b="0"/>
                <wp:docPr id="25" name="Imagem 25" descr="C:\Users\Jemima\AppData\Local\Microsoft\Windows\INetCache\Content.Word\LOGO CISLIPA 201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mima\AppData\Local\Microsoft\Windows\INetCache\Content.Word\LOGO CISLIPA 2019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6" t="27253" r="12592" b="25293"/>
                        <a:stretch/>
                      </pic:blipFill>
                      <pic:spPr bwMode="auto">
                        <a:xfrm>
                          <a:off x="0" y="0"/>
                          <a:ext cx="4244196" cy="143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 Black" w:hAnsi="Arial Black" w:cs="Aharoni"/>
              <w:smallCaps/>
              <w:color w:val="365F91" w:themeColor="accent1" w:themeShade="BF"/>
              <w:sz w:val="20"/>
              <w:szCs w:val="20"/>
            </w:rPr>
          </w:pPr>
        </w:p>
      </w:tc>
    </w:tr>
  </w:tbl>
  <w:p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B7CC6"/>
    <w:multiLevelType w:val="hybridMultilevel"/>
    <w:tmpl w:val="D7B00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7EEA"/>
    <w:multiLevelType w:val="hybridMultilevel"/>
    <w:tmpl w:val="18B43196"/>
    <w:lvl w:ilvl="0" w:tplc="8C30A29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5093C86"/>
    <w:multiLevelType w:val="hybridMultilevel"/>
    <w:tmpl w:val="1BF03BD4"/>
    <w:lvl w:ilvl="0" w:tplc="A4861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833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1CE6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884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7624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E80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CC6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0AA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6B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BB2234"/>
    <w:multiLevelType w:val="hybridMultilevel"/>
    <w:tmpl w:val="D6BC8AA0"/>
    <w:lvl w:ilvl="0" w:tplc="4888F7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274"/>
    <w:multiLevelType w:val="multilevel"/>
    <w:tmpl w:val="19A63C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7116B06"/>
    <w:multiLevelType w:val="hybridMultilevel"/>
    <w:tmpl w:val="CEF8A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4D4"/>
    <w:multiLevelType w:val="hybridMultilevel"/>
    <w:tmpl w:val="74184328"/>
    <w:lvl w:ilvl="0" w:tplc="5CE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620D0"/>
    <w:multiLevelType w:val="hybridMultilevel"/>
    <w:tmpl w:val="6790703A"/>
    <w:lvl w:ilvl="0" w:tplc="D9F6452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BF1A10"/>
    <w:multiLevelType w:val="hybridMultilevel"/>
    <w:tmpl w:val="4DA04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06A5"/>
    <w:multiLevelType w:val="hybridMultilevel"/>
    <w:tmpl w:val="7D140650"/>
    <w:lvl w:ilvl="0" w:tplc="5D168A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579269F"/>
    <w:multiLevelType w:val="hybridMultilevel"/>
    <w:tmpl w:val="C53AD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6D46"/>
    <w:multiLevelType w:val="hybridMultilevel"/>
    <w:tmpl w:val="3AE244F0"/>
    <w:lvl w:ilvl="0" w:tplc="7CD2207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E3D6159"/>
    <w:multiLevelType w:val="hybridMultilevel"/>
    <w:tmpl w:val="417E0D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B130F"/>
    <w:multiLevelType w:val="hybridMultilevel"/>
    <w:tmpl w:val="B9F0B228"/>
    <w:lvl w:ilvl="0" w:tplc="380EFD9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3" w:hanging="360"/>
      </w:pPr>
    </w:lvl>
    <w:lvl w:ilvl="2" w:tplc="0416001B">
      <w:start w:val="1"/>
      <w:numFmt w:val="lowerRoman"/>
      <w:lvlText w:val="%3."/>
      <w:lvlJc w:val="right"/>
      <w:pPr>
        <w:ind w:left="1733" w:hanging="180"/>
      </w:pPr>
    </w:lvl>
    <w:lvl w:ilvl="3" w:tplc="0416000F">
      <w:start w:val="1"/>
      <w:numFmt w:val="decimal"/>
      <w:lvlText w:val="%4."/>
      <w:lvlJc w:val="left"/>
      <w:pPr>
        <w:ind w:left="2453" w:hanging="360"/>
      </w:pPr>
    </w:lvl>
    <w:lvl w:ilvl="4" w:tplc="04160019">
      <w:start w:val="1"/>
      <w:numFmt w:val="lowerLetter"/>
      <w:lvlText w:val="%5."/>
      <w:lvlJc w:val="left"/>
      <w:pPr>
        <w:ind w:left="3173" w:hanging="360"/>
      </w:pPr>
    </w:lvl>
    <w:lvl w:ilvl="5" w:tplc="0416001B">
      <w:start w:val="1"/>
      <w:numFmt w:val="lowerRoman"/>
      <w:lvlText w:val="%6."/>
      <w:lvlJc w:val="right"/>
      <w:pPr>
        <w:ind w:left="3893" w:hanging="180"/>
      </w:pPr>
    </w:lvl>
    <w:lvl w:ilvl="6" w:tplc="0416000F">
      <w:start w:val="1"/>
      <w:numFmt w:val="decimal"/>
      <w:lvlText w:val="%7."/>
      <w:lvlJc w:val="left"/>
      <w:pPr>
        <w:ind w:left="4613" w:hanging="360"/>
      </w:pPr>
    </w:lvl>
    <w:lvl w:ilvl="7" w:tplc="04160019">
      <w:start w:val="1"/>
      <w:numFmt w:val="lowerLetter"/>
      <w:lvlText w:val="%8."/>
      <w:lvlJc w:val="left"/>
      <w:pPr>
        <w:ind w:left="5333" w:hanging="360"/>
      </w:pPr>
    </w:lvl>
    <w:lvl w:ilvl="8" w:tplc="0416001B">
      <w:start w:val="1"/>
      <w:numFmt w:val="lowerRoman"/>
      <w:lvlText w:val="%9."/>
      <w:lvlJc w:val="right"/>
      <w:pPr>
        <w:ind w:left="6053" w:hanging="180"/>
      </w:pPr>
    </w:lvl>
  </w:abstractNum>
  <w:abstractNum w:abstractNumId="15">
    <w:nsid w:val="40315771"/>
    <w:multiLevelType w:val="hybridMultilevel"/>
    <w:tmpl w:val="B9F0B228"/>
    <w:lvl w:ilvl="0" w:tplc="380EFD9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">
    <w:nsid w:val="419401A5"/>
    <w:multiLevelType w:val="hybridMultilevel"/>
    <w:tmpl w:val="4BAC9000"/>
    <w:lvl w:ilvl="0" w:tplc="9D7ABD9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36F4096"/>
    <w:multiLevelType w:val="hybridMultilevel"/>
    <w:tmpl w:val="41360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18B3"/>
    <w:multiLevelType w:val="hybridMultilevel"/>
    <w:tmpl w:val="1D8CE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37F7"/>
    <w:multiLevelType w:val="hybridMultilevel"/>
    <w:tmpl w:val="0F8A8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605BC"/>
    <w:multiLevelType w:val="hybridMultilevel"/>
    <w:tmpl w:val="4672D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E6F2D"/>
    <w:multiLevelType w:val="multilevel"/>
    <w:tmpl w:val="FB68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396DA1"/>
    <w:multiLevelType w:val="hybridMultilevel"/>
    <w:tmpl w:val="A8880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2E3D"/>
    <w:multiLevelType w:val="hybridMultilevel"/>
    <w:tmpl w:val="A4DE6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9755B"/>
    <w:multiLevelType w:val="hybridMultilevel"/>
    <w:tmpl w:val="C324C00C"/>
    <w:lvl w:ilvl="0" w:tplc="30C09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1"/>
  </w:num>
  <w:num w:numId="5">
    <w:abstractNumId w:val="22"/>
  </w:num>
  <w:num w:numId="6">
    <w:abstractNumId w:val="18"/>
  </w:num>
  <w:num w:numId="7">
    <w:abstractNumId w:val="9"/>
  </w:num>
  <w:num w:numId="8">
    <w:abstractNumId w:val="20"/>
  </w:num>
  <w:num w:numId="9">
    <w:abstractNumId w:val="7"/>
  </w:num>
  <w:num w:numId="10">
    <w:abstractNumId w:val="17"/>
  </w:num>
  <w:num w:numId="11">
    <w:abstractNumId w:val="3"/>
  </w:num>
  <w:num w:numId="12">
    <w:abstractNumId w:val="24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10"/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19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numPr>
        <w:ilvl w:val="6"/>
        <w:numId w:val="16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="Cambria" w:eastAsia="Times New Roman" w:hAnsi="Cambria" w:cs="Times New Roman"/>
      <w:lang w:val="en-US"/>
    </w:rPr>
  </w:style>
  <w:style w:type="paragraph" w:customStyle="1" w:styleId="textbody">
    <w:name w:val="textbody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numPr>
        <w:ilvl w:val="6"/>
        <w:numId w:val="16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="Cambria" w:eastAsia="Times New Roman" w:hAnsi="Cambria" w:cs="Times New Roman"/>
      <w:lang w:val="en-US"/>
    </w:rPr>
  </w:style>
  <w:style w:type="paragraph" w:customStyle="1" w:styleId="textbody">
    <w:name w:val="textbody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5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1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riomunicipal.com.br/amp/pesquis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tran.pr.gov.br/modules/catasg/servicos-detalhes.php?tema=motorista&amp;id=2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riomunicipal.com.br/amp/pesquis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aofafipa.org.br/concurs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lipalitoral.com.br/conta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18A0-EE1C-4590-99A0-565408C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1224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cislipa</cp:lastModifiedBy>
  <cp:revision>11</cp:revision>
  <cp:lastPrinted>2019-05-31T19:26:00Z</cp:lastPrinted>
  <dcterms:created xsi:type="dcterms:W3CDTF">2019-05-17T18:17:00Z</dcterms:created>
  <dcterms:modified xsi:type="dcterms:W3CDTF">2019-05-31T19:54:00Z</dcterms:modified>
</cp:coreProperties>
</file>